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0" w:type="dxa"/>
        <w:tblCellSpacing w:w="0" w:type="dxa"/>
        <w:tblInd w:w="2" w:type="dxa"/>
        <w:tblLayout w:type="fixed"/>
        <w:tblCellMar>
          <w:left w:w="0" w:type="dxa"/>
          <w:right w:w="0" w:type="dxa"/>
        </w:tblCellMar>
        <w:tblLook w:val="00A0"/>
      </w:tblPr>
      <w:tblGrid>
        <w:gridCol w:w="3420"/>
        <w:gridCol w:w="6310"/>
      </w:tblGrid>
      <w:tr w:rsidR="0093078E" w:rsidRPr="002221F2">
        <w:trPr>
          <w:trHeight w:val="582"/>
          <w:tblCellSpacing w:w="0" w:type="dxa"/>
        </w:trPr>
        <w:tc>
          <w:tcPr>
            <w:tcW w:w="3420" w:type="dxa"/>
            <w:shd w:val="clear" w:color="auto" w:fill="FFFFFF"/>
            <w:tcMar>
              <w:top w:w="0" w:type="dxa"/>
              <w:left w:w="108" w:type="dxa"/>
              <w:bottom w:w="0" w:type="dxa"/>
              <w:right w:w="108" w:type="dxa"/>
            </w:tcMar>
          </w:tcPr>
          <w:p w:rsidR="0093078E" w:rsidRDefault="0093078E">
            <w:pPr>
              <w:spacing w:after="120" w:line="234" w:lineRule="atLeast"/>
              <w:jc w:val="center"/>
              <w:rPr>
                <w:rFonts w:ascii="Times New Roman" w:hAnsi="Times New Roman" w:cs="Times New Roman"/>
                <w:color w:val="000000"/>
                <w:sz w:val="26"/>
                <w:szCs w:val="26"/>
              </w:rPr>
            </w:pPr>
            <w:r>
              <w:rPr>
                <w:noProof/>
              </w:rPr>
              <w:pict>
                <v:line id="_x0000_s1026" style="position:absolute;left:0;text-align:left;z-index:251658240" from="36.25pt,34.05pt" to="121pt,34.05pt" strokeweight=".5pt">
                  <v:stroke joinstyle="miter"/>
                </v:line>
              </w:pict>
            </w:r>
            <w:r>
              <w:rPr>
                <w:rFonts w:ascii="Times New Roman" w:hAnsi="Times New Roman" w:cs="Times New Roman"/>
                <w:b/>
                <w:bCs/>
                <w:color w:val="000000"/>
                <w:sz w:val="26"/>
                <w:szCs w:val="26"/>
              </w:rPr>
              <w:t>ỦY BAN NHÂN DÂN</w:t>
            </w:r>
            <w:r>
              <w:rPr>
                <w:rFonts w:ascii="Times New Roman" w:hAnsi="Times New Roman" w:cs="Times New Roman"/>
                <w:b/>
                <w:bCs/>
                <w:color w:val="000000"/>
                <w:sz w:val="26"/>
                <w:szCs w:val="26"/>
              </w:rPr>
              <w:br/>
              <w:t>TỈNH THỪA THIÊN HUẾ</w:t>
            </w:r>
            <w:r>
              <w:rPr>
                <w:rFonts w:ascii="Times New Roman" w:hAnsi="Times New Roman" w:cs="Times New Roman"/>
                <w:b/>
                <w:bCs/>
                <w:color w:val="000000"/>
                <w:sz w:val="26"/>
                <w:szCs w:val="26"/>
              </w:rPr>
              <w:br/>
            </w:r>
          </w:p>
        </w:tc>
        <w:tc>
          <w:tcPr>
            <w:tcW w:w="6310" w:type="dxa"/>
            <w:shd w:val="clear" w:color="auto" w:fill="FFFFFF"/>
            <w:tcMar>
              <w:top w:w="0" w:type="dxa"/>
              <w:left w:w="108" w:type="dxa"/>
              <w:bottom w:w="0" w:type="dxa"/>
              <w:right w:w="108" w:type="dxa"/>
            </w:tcMar>
          </w:tcPr>
          <w:p w:rsidR="0093078E" w:rsidRDefault="0093078E">
            <w:pPr>
              <w:spacing w:after="0" w:line="234" w:lineRule="atLeast"/>
              <w:jc w:val="center"/>
              <w:rPr>
                <w:rFonts w:ascii="Times New Roman" w:hAnsi="Times New Roman" w:cs="Times New Roman"/>
                <w:color w:val="000000"/>
                <w:sz w:val="16"/>
                <w:szCs w:val="16"/>
              </w:rPr>
            </w:pPr>
            <w:r>
              <w:rPr>
                <w:noProof/>
              </w:rPr>
              <w:pict>
                <v:line id="_x0000_s1027" style="position:absolute;left:0;text-align:left;z-index:251659264;mso-position-horizontal-relative:text;mso-position-vertical-relative:text" from="56.35pt,34.05pt" to="216.1pt,34.05pt" strokeweight=".5pt">
                  <v:stroke joinstyle="miter"/>
                </v:line>
              </w:pict>
            </w:r>
            <w:r>
              <w:rPr>
                <w:rFonts w:ascii="Times New Roman" w:hAnsi="Times New Roman" w:cs="Times New Roman"/>
                <w:b/>
                <w:bCs/>
                <w:color w:val="000000"/>
                <w:sz w:val="26"/>
                <w:szCs w:val="26"/>
              </w:rPr>
              <w:t>CỘNG HÒA XÃ HỘI CHỦ NGHĨA VIỆT NAM</w:t>
            </w:r>
            <w:r>
              <w:rPr>
                <w:rFonts w:ascii="Times New Roman" w:hAnsi="Times New Roman" w:cs="Times New Roman"/>
                <w:b/>
                <w:bCs/>
                <w:color w:val="000000"/>
                <w:sz w:val="26"/>
                <w:szCs w:val="26"/>
              </w:rPr>
              <w:br/>
              <w:t>Độc lập - Tự do - Hạnh phúc </w:t>
            </w:r>
            <w:r>
              <w:rPr>
                <w:rFonts w:ascii="Times New Roman" w:hAnsi="Times New Roman" w:cs="Times New Roman"/>
                <w:b/>
                <w:bCs/>
                <w:color w:val="000000"/>
                <w:sz w:val="26"/>
                <w:szCs w:val="26"/>
              </w:rPr>
              <w:br/>
            </w:r>
          </w:p>
        </w:tc>
      </w:tr>
      <w:tr w:rsidR="0093078E" w:rsidRPr="002221F2">
        <w:trPr>
          <w:trHeight w:val="709"/>
          <w:tblCellSpacing w:w="0" w:type="dxa"/>
        </w:trPr>
        <w:tc>
          <w:tcPr>
            <w:tcW w:w="3420" w:type="dxa"/>
            <w:shd w:val="clear" w:color="auto" w:fill="FFFFFF"/>
            <w:tcMar>
              <w:top w:w="0" w:type="dxa"/>
              <w:left w:w="108" w:type="dxa"/>
              <w:bottom w:w="0" w:type="dxa"/>
              <w:right w:w="108" w:type="dxa"/>
            </w:tcMar>
          </w:tcPr>
          <w:p w:rsidR="0093078E" w:rsidRDefault="0093078E">
            <w:pPr>
              <w:spacing w:after="0" w:line="234" w:lineRule="atLeast"/>
              <w:rPr>
                <w:rFonts w:ascii="Times New Roman" w:hAnsi="Times New Roman" w:cs="Times New Roman"/>
                <w:color w:val="000000"/>
                <w:sz w:val="26"/>
                <w:szCs w:val="26"/>
              </w:rPr>
            </w:pPr>
          </w:p>
        </w:tc>
        <w:tc>
          <w:tcPr>
            <w:tcW w:w="6310" w:type="dxa"/>
            <w:shd w:val="clear" w:color="auto" w:fill="FFFFFF"/>
            <w:tcMar>
              <w:top w:w="0" w:type="dxa"/>
              <w:left w:w="108" w:type="dxa"/>
              <w:bottom w:w="0" w:type="dxa"/>
              <w:right w:w="108" w:type="dxa"/>
            </w:tcMar>
          </w:tcPr>
          <w:p w:rsidR="0093078E" w:rsidRDefault="0093078E">
            <w:pPr>
              <w:spacing w:after="0" w:line="234" w:lineRule="atLeast"/>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Thừa Thiên Huế, ngày 13 tháng 8 năm 2018  </w:t>
            </w:r>
          </w:p>
          <w:p w:rsidR="0093078E" w:rsidRDefault="0093078E">
            <w:pPr>
              <w:spacing w:after="0" w:line="234" w:lineRule="atLeast"/>
              <w:jc w:val="right"/>
              <w:rPr>
                <w:rFonts w:ascii="Times New Roman" w:hAnsi="Times New Roman" w:cs="Times New Roman"/>
                <w:color w:val="000000"/>
                <w:sz w:val="24"/>
                <w:szCs w:val="24"/>
              </w:rPr>
            </w:pPr>
          </w:p>
        </w:tc>
      </w:tr>
    </w:tbl>
    <w:p w:rsidR="0093078E" w:rsidRDefault="0093078E">
      <w:pPr>
        <w:spacing w:after="0"/>
        <w:jc w:val="center"/>
        <w:rPr>
          <w:rFonts w:ascii="Times New Roman" w:hAnsi="Times New Roman" w:cs="Times New Roman"/>
          <w:b/>
          <w:bCs/>
          <w:sz w:val="32"/>
          <w:szCs w:val="32"/>
        </w:rPr>
      </w:pPr>
      <w:r>
        <w:rPr>
          <w:rFonts w:ascii="Times New Roman" w:hAnsi="Times New Roman" w:cs="Times New Roman"/>
          <w:b/>
          <w:bCs/>
          <w:sz w:val="32"/>
          <w:szCs w:val="32"/>
        </w:rPr>
        <w:t>THÔNG CÁO BÁO CHÍ</w:t>
      </w:r>
    </w:p>
    <w:p w:rsidR="0093078E" w:rsidRDefault="009307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Công bố những hỗ trợ của tỉnh dành cho doanh nghiệp</w:t>
      </w:r>
      <w:r>
        <w:rPr>
          <w:noProof/>
        </w:rPr>
        <w:pict>
          <v:line id="_x0000_s1028" style="position:absolute;left:0;text-align:left;z-index:251660288;mso-position-horizontal-relative:text;mso-position-vertical-relative:text" from="141.5pt,17.65pt" to="308.8pt,17.65pt" strokeweight=".5pt">
            <v:stroke joinstyle="miter"/>
          </v:line>
        </w:pict>
      </w:r>
    </w:p>
    <w:p w:rsidR="0093078E" w:rsidRDefault="0093078E">
      <w:pPr>
        <w:spacing w:after="0" w:line="240" w:lineRule="auto"/>
        <w:ind w:firstLine="709"/>
        <w:jc w:val="both"/>
        <w:rPr>
          <w:rFonts w:ascii="Times New Roman" w:hAnsi="Times New Roman" w:cs="Times New Roman"/>
          <w:b/>
          <w:bCs/>
          <w:sz w:val="28"/>
          <w:szCs w:val="28"/>
        </w:rPr>
      </w:pPr>
    </w:p>
    <w:p w:rsidR="0093078E" w:rsidRDefault="0093078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Ngày 13 tháng 8 năm 2018</w:t>
      </w:r>
      <w:r>
        <w:rPr>
          <w:rFonts w:ascii="Times New Roman" w:hAnsi="Times New Roman" w:cs="Times New Roman"/>
          <w:sz w:val="28"/>
          <w:szCs w:val="28"/>
        </w:rPr>
        <w:t xml:space="preserve">, UBND tỉnh Thừa Thiên Huế tổ chức họp báo </w:t>
      </w:r>
      <w:r>
        <w:rPr>
          <w:rFonts w:ascii="Times New Roman" w:hAnsi="Times New Roman" w:cs="Times New Roman"/>
          <w:b/>
          <w:bCs/>
          <w:sz w:val="28"/>
          <w:szCs w:val="28"/>
        </w:rPr>
        <w:t>Công bố những hỗ trợ của tỉnh dành cho doanh nghiệp</w:t>
      </w:r>
      <w:r>
        <w:rPr>
          <w:rFonts w:ascii="Times New Roman" w:hAnsi="Times New Roman" w:cs="Times New Roman"/>
          <w:sz w:val="28"/>
          <w:szCs w:val="28"/>
        </w:rPr>
        <w:t>. UBND tỉnh Thừa Thiên Huế xác định “Chương trình Phát triển doanh nghiệp” là 01 trong 04 chương trình trọng điểm của tỉnh năm 2018, theo đó, nhiều chính sách, chương trình, kế hoạch hỗ trợ doanh nghiệp đã, đang và tiếp tục triển khai. Cụ thể:</w:t>
      </w:r>
    </w:p>
    <w:p w:rsidR="0093078E" w:rsidRDefault="0093078E" w:rsidP="007A146F">
      <w:pPr>
        <w:spacing w:before="120" w:after="120" w:line="240" w:lineRule="auto"/>
        <w:ind w:firstLine="706"/>
        <w:jc w:val="both"/>
        <w:rPr>
          <w:rFonts w:ascii="Times New Roman" w:hAnsi="Times New Roman" w:cs="Times New Roman"/>
          <w:b/>
          <w:bCs/>
          <w:sz w:val="28"/>
          <w:szCs w:val="28"/>
        </w:rPr>
      </w:pPr>
      <w:r>
        <w:rPr>
          <w:rFonts w:ascii="Times New Roman" w:hAnsi="Times New Roman" w:cs="Times New Roman"/>
          <w:b/>
          <w:bCs/>
          <w:sz w:val="28"/>
          <w:szCs w:val="28"/>
        </w:rPr>
        <w:t>Về chính sách</w:t>
      </w:r>
    </w:p>
    <w:p w:rsidR="0093078E" w:rsidRDefault="0093078E" w:rsidP="007A146F">
      <w:pPr>
        <w:spacing w:after="6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 Ngay sau khi Luật hỗ trợ DNNVV có hiệu lực từ ngày 01/01/2018, Nghị định 39/2018/NĐ-CP có hiệu lực từ ngày 30/6/2018, </w:t>
      </w:r>
      <w:r w:rsidRPr="003140AD">
        <w:rPr>
          <w:rFonts w:ascii="Times New Roman" w:hAnsi="Times New Roman" w:cs="Times New Roman"/>
          <w:b/>
          <w:bCs/>
          <w:sz w:val="28"/>
          <w:szCs w:val="28"/>
        </w:rPr>
        <w:t xml:space="preserve">Thừa Thiên Huế là địa phương đầu tiên </w:t>
      </w:r>
      <w:r>
        <w:rPr>
          <w:rFonts w:ascii="Times New Roman" w:hAnsi="Times New Roman" w:cs="Times New Roman"/>
          <w:sz w:val="28"/>
          <w:szCs w:val="28"/>
        </w:rPr>
        <w:t>trên cả nước ban hành chính sách hỗ trợ DNNVV trên địa bàn tỉnh (QĐ 39/2018/QĐ-UBND ngày 28/6/2018). Nhiều nội dung hỗ trợ từ Chính sách này bao gồm: hỗ trợ tiếp cận tín dụng, mặt bằng sản xuất kinh doanh, đổi mới công nghệ, mở rộng thị trường, phát triển nguồn nhân lực; hỗ trợ hộ kinh doanh chuyển đổi lên doanh nghiệp; hỗ trợ doanh nghiệp khởi nghiệp đổi mới sáng tạo,...</w:t>
      </w:r>
    </w:p>
    <w:p w:rsidR="0093078E" w:rsidRDefault="0093078E" w:rsidP="007A146F">
      <w:pPr>
        <w:spacing w:after="60" w:line="240" w:lineRule="auto"/>
        <w:ind w:firstLine="706"/>
        <w:jc w:val="both"/>
        <w:rPr>
          <w:rFonts w:ascii="Times New Roman" w:hAnsi="Times New Roman" w:cs="Times New Roman"/>
          <w:sz w:val="28"/>
          <w:szCs w:val="28"/>
        </w:rPr>
      </w:pPr>
      <w:r>
        <w:rPr>
          <w:rFonts w:ascii="Times New Roman" w:hAnsi="Times New Roman" w:cs="Times New Roman"/>
          <w:sz w:val="28"/>
          <w:szCs w:val="28"/>
        </w:rPr>
        <w:t>- Chính sách hỗ trợ phát triển tài sản trí tuệ (QĐ 13/2018/QĐ-UBND ngày 09/02/2018). Một số nội dung hỗ trợ từ Chính sách này bao gồm: hỗ trợ khuyến khích phát triển tài sản trí tuệ; hỗ trợ sáng chế, giải pháp hữu ích nhằm nâng cao năng suất, chất lượng các đặc sản trên địa bàn; hỗ trợ tạo lập, đăng ký bảo hộ và quảng bá nhãn hiệu tập thể, nhãn hiệu chứng nhận cho các đặc sản, sản phẩm làng nghề,...</w:t>
      </w:r>
    </w:p>
    <w:p w:rsidR="0093078E" w:rsidRDefault="0093078E" w:rsidP="007A146F">
      <w:pPr>
        <w:spacing w:after="60" w:line="240" w:lineRule="auto"/>
        <w:ind w:firstLine="706"/>
        <w:jc w:val="both"/>
        <w:rPr>
          <w:rFonts w:ascii="Times New Roman" w:hAnsi="Times New Roman" w:cs="Times New Roman"/>
          <w:sz w:val="28"/>
          <w:szCs w:val="28"/>
        </w:rPr>
      </w:pPr>
      <w:r>
        <w:rPr>
          <w:rFonts w:ascii="Times New Roman" w:hAnsi="Times New Roman" w:cs="Times New Roman"/>
          <w:sz w:val="28"/>
          <w:szCs w:val="28"/>
        </w:rPr>
        <w:t>- Chính sách hỗ trợ doanh nghiệp hoạt động trong lĩnh vực xã hội hóa đã được HĐND tỉnh khóa VII thông qua ngày 11/7/2018. Theo đó một số nội dung hỗ trợ từ Chính sách này bao gồm: chính sách cho thuê đất, chính sách ưu đãi tín dụng, các chính sách về thuế như lệ phí trước bạ, thuế giá trị gia tăng, thuế xuất khẩu, thuế nhập khẩu; thuế thu nhập doanh nghiệp,...</w:t>
      </w:r>
    </w:p>
    <w:p w:rsidR="0093078E" w:rsidRDefault="0093078E" w:rsidP="007A146F">
      <w:pPr>
        <w:spacing w:after="6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 Tiếp tục thực hiện các chính sách hỗ trợ doanh nghiệp như: </w:t>
      </w:r>
    </w:p>
    <w:p w:rsidR="0093078E" w:rsidRDefault="0093078E" w:rsidP="007A146F">
      <w:pPr>
        <w:spacing w:after="60" w:line="240" w:lineRule="auto"/>
        <w:ind w:firstLine="706"/>
        <w:jc w:val="both"/>
        <w:rPr>
          <w:rFonts w:ascii="Times New Roman" w:hAnsi="Times New Roman" w:cs="Times New Roman"/>
          <w:sz w:val="28"/>
          <w:szCs w:val="28"/>
        </w:rPr>
      </w:pPr>
      <w:r>
        <w:rPr>
          <w:rFonts w:ascii="Times New Roman" w:hAnsi="Times New Roman" w:cs="Times New Roman"/>
          <w:sz w:val="28"/>
          <w:szCs w:val="28"/>
        </w:rPr>
        <w:t>+ Chính sách ưu đãi và hỗ trợ đầu tư theo Quyết định số 19/2017/QĐ-UBND ngày 21/4/2017 (hỗ trợ các công trình kết cấu hạ tầng trong và ngoài hàng rào; Hỗ trợ GPMB và rà phá bom, mìn, vật nổ; Hỗ trợ doanh nghiệp hoạt động trong lĩnh vực công nghệ thông tin;...).</w:t>
      </w:r>
    </w:p>
    <w:p w:rsidR="0093078E" w:rsidRDefault="0093078E" w:rsidP="007A146F">
      <w:pPr>
        <w:spacing w:after="60" w:line="240" w:lineRule="auto"/>
        <w:ind w:firstLine="706"/>
        <w:jc w:val="both"/>
        <w:rPr>
          <w:rFonts w:ascii="Times New Roman" w:hAnsi="Times New Roman" w:cs="Times New Roman"/>
          <w:sz w:val="28"/>
          <w:szCs w:val="28"/>
        </w:rPr>
      </w:pPr>
      <w:r>
        <w:rPr>
          <w:rFonts w:ascii="Times New Roman" w:hAnsi="Times New Roman" w:cs="Times New Roman"/>
          <w:sz w:val="28"/>
          <w:szCs w:val="28"/>
        </w:rPr>
        <w:t>+ Chính sách hỗ trợ bảo vệ và phát huy giá trị nhà vườn Huế đặc trưng theo Quyết định số 13/2015/QĐ-UBND ngày 24/6/2015 (Hỗ trợ trùng tu, tôn tạo nhà chính; Hỗ trợ tôn tạo khuôn viên vườn; Hỗ trợ kinh doanh dịch vụ tại nhà vườn; Hỗ trợ 100% tiền thuế sử dụng đất phi nông nghiệp;...).</w:t>
      </w:r>
    </w:p>
    <w:p w:rsidR="0093078E" w:rsidRDefault="0093078E" w:rsidP="007A146F">
      <w:pPr>
        <w:spacing w:after="60" w:line="240" w:lineRule="auto"/>
        <w:ind w:firstLine="706"/>
        <w:jc w:val="both"/>
        <w:rPr>
          <w:rFonts w:ascii="Times New Roman" w:hAnsi="Times New Roman" w:cs="Times New Roman"/>
          <w:sz w:val="28"/>
          <w:szCs w:val="28"/>
        </w:rPr>
      </w:pPr>
      <w:r>
        <w:rPr>
          <w:rFonts w:ascii="Times New Roman" w:hAnsi="Times New Roman" w:cs="Times New Roman"/>
          <w:sz w:val="28"/>
          <w:szCs w:val="28"/>
        </w:rPr>
        <w:t>+ Chính sách khuyến khích phát triển sản xuất nông nghiệp theo Quyết định số 32/2016/QĐ-UBND ngày 23/5/2016 (Hỗ trợ đầu tư xây dựng công trình trong hàng rào các dự án: đầu tư cơ sở sản xuất nông nghiệp công nghệ cao; đầu tư cơ sở sản xuất giống; đầu tư cơ sở giết mổ gia súc, gia cầm tập trung; đầu tư cơ sở đóng mới, sửa chữa tàu cá đánh bắt xa bờ;...).</w:t>
      </w:r>
    </w:p>
    <w:p w:rsidR="0093078E" w:rsidRDefault="0093078E">
      <w:pPr>
        <w:spacing w:after="0" w:line="240" w:lineRule="auto"/>
        <w:ind w:firstLine="709"/>
        <w:jc w:val="both"/>
        <w:rPr>
          <w:rFonts w:ascii="Times New Roman" w:hAnsi="Times New Roman" w:cs="Times New Roman"/>
          <w:color w:val="17365D"/>
          <w:sz w:val="28"/>
          <w:szCs w:val="28"/>
        </w:rPr>
      </w:pPr>
      <w:r>
        <w:rPr>
          <w:rFonts w:ascii="Times New Roman" w:hAnsi="Times New Roman" w:cs="Times New Roman"/>
          <w:sz w:val="28"/>
          <w:szCs w:val="28"/>
        </w:rPr>
        <w:t>+ Chính sách hỗ trợ hoạt động khuyến công theo Quyết định số 74/2016/QĐ-UBND ngày 18/10/2016 (hỗ trợ sản xuất hàng lưu niệm, quà tặng; sản xuất hàng tiểu thủ công nghiệp; hàng thủ công mỹ nghệ, thủ công truyền thống,...).</w:t>
      </w:r>
    </w:p>
    <w:p w:rsidR="0093078E" w:rsidRDefault="0093078E" w:rsidP="007A146F">
      <w:pPr>
        <w:spacing w:before="120" w:after="120" w:line="240" w:lineRule="auto"/>
        <w:ind w:firstLine="706"/>
        <w:jc w:val="both"/>
        <w:rPr>
          <w:rFonts w:ascii="Times New Roman" w:hAnsi="Times New Roman" w:cs="Times New Roman"/>
          <w:b/>
          <w:bCs/>
          <w:sz w:val="28"/>
          <w:szCs w:val="28"/>
        </w:rPr>
      </w:pPr>
      <w:r>
        <w:rPr>
          <w:rFonts w:ascii="Times New Roman" w:hAnsi="Times New Roman" w:cs="Times New Roman"/>
          <w:b/>
          <w:bCs/>
          <w:sz w:val="28"/>
          <w:szCs w:val="28"/>
        </w:rPr>
        <w:t>Về một số hỗ trợ cụ thể</w:t>
      </w:r>
    </w:p>
    <w:p w:rsidR="0093078E" w:rsidRDefault="0093078E" w:rsidP="007A146F">
      <w:pPr>
        <w:spacing w:after="60" w:line="240" w:lineRule="auto"/>
        <w:ind w:firstLine="706"/>
        <w:jc w:val="both"/>
        <w:rPr>
          <w:rFonts w:ascii="Times New Roman" w:hAnsi="Times New Roman" w:cs="Times New Roman"/>
          <w:color w:val="000000"/>
          <w:sz w:val="28"/>
          <w:szCs w:val="28"/>
          <w:lang w:val="af-ZA"/>
        </w:rPr>
      </w:pPr>
      <w:r>
        <w:rPr>
          <w:rFonts w:ascii="Times New Roman" w:hAnsi="Times New Roman" w:cs="Times New Roman"/>
          <w:i/>
          <w:iCs/>
          <w:sz w:val="28"/>
          <w:szCs w:val="28"/>
        </w:rPr>
        <w:t>- Cấp Thẻ điện tử thông tin doanh nghiệp:</w:t>
      </w:r>
      <w:r>
        <w:rPr>
          <w:rFonts w:ascii="Times New Roman" w:hAnsi="Times New Roman" w:cs="Times New Roman"/>
          <w:sz w:val="28"/>
          <w:szCs w:val="28"/>
        </w:rPr>
        <w:t xml:space="preserve"> đến nay đã t</w:t>
      </w:r>
      <w:r>
        <w:rPr>
          <w:rFonts w:ascii="Times New Roman" w:hAnsi="Times New Roman" w:cs="Times New Roman"/>
          <w:sz w:val="28"/>
          <w:szCs w:val="28"/>
          <w:lang w:val="nl-NL"/>
        </w:rPr>
        <w:t xml:space="preserve">hực hiện </w:t>
      </w:r>
      <w:r>
        <w:rPr>
          <w:rFonts w:ascii="Times New Roman" w:hAnsi="Times New Roman" w:cs="Times New Roman"/>
          <w:color w:val="000000"/>
          <w:sz w:val="28"/>
          <w:szCs w:val="28"/>
          <w:lang w:val="af-ZA"/>
        </w:rPr>
        <w:t>cấp hơn 1.000 tài khoản điện tử cho doanh nghiệp, hướng đến hỗ trợ và tạo điều kiện thuận lợi cho doanh nghiệp trong quá trình thực hiện các dịch vụ công (cắt giảm những thành phần hồ sơ đã có trong dữ liệu Thẻ).</w:t>
      </w:r>
    </w:p>
    <w:p w:rsidR="0093078E" w:rsidRDefault="0093078E" w:rsidP="007A146F">
      <w:pPr>
        <w:spacing w:after="60" w:line="240" w:lineRule="auto"/>
        <w:ind w:firstLine="706"/>
        <w:jc w:val="both"/>
        <w:rPr>
          <w:rFonts w:ascii="Times New Roman" w:hAnsi="Times New Roman" w:cs="Times New Roman"/>
          <w:sz w:val="28"/>
          <w:szCs w:val="28"/>
          <w:lang w:val="nl-NL"/>
        </w:rPr>
      </w:pPr>
      <w:r>
        <w:rPr>
          <w:rFonts w:ascii="Times New Roman" w:hAnsi="Times New Roman" w:cs="Times New Roman"/>
          <w:i/>
          <w:iCs/>
          <w:color w:val="000000"/>
          <w:sz w:val="28"/>
          <w:szCs w:val="28"/>
          <w:lang w:val="af-ZA"/>
        </w:rPr>
        <w:t xml:space="preserve">- </w:t>
      </w:r>
      <w:r>
        <w:rPr>
          <w:rFonts w:ascii="Times New Roman" w:hAnsi="Times New Roman" w:cs="Times New Roman"/>
          <w:i/>
          <w:iCs/>
          <w:sz w:val="28"/>
          <w:szCs w:val="28"/>
          <w:lang w:val="nl-NL"/>
        </w:rPr>
        <w:t>Về du lịch:</w:t>
      </w:r>
      <w:r>
        <w:rPr>
          <w:rFonts w:ascii="Times New Roman" w:hAnsi="Times New Roman" w:cs="Times New Roman"/>
          <w:sz w:val="28"/>
          <w:szCs w:val="28"/>
          <w:lang w:val="nl-NL"/>
        </w:rPr>
        <w:t xml:space="preserve"> đã hỗ trợ đưa vào hoạt động duy trì mở cửa Đại Nội về đêm, nhằm thu hút du khách tham quan di tích; hỗ trợ đa dạng hóa các hoạt động trình diễn tại phố đi bộ về đêm cuối tuần ở các tuyến đường Phạm Ngũ Lão, Chu Văn An, Võ Thị Sáu; đã và đang sắp xếp một chuỗi hệ thống các thiết chế văn hóa nghệ thuật theo không gian mở trên tuyến đường Lê Lợi, từng bước hình thành sản phẩm du lịch của năm 2018 là tuyến phố đi bộ dọc sông Hương gắn với không gian bảo tàng dọc đường Lê Lợi.</w:t>
      </w:r>
    </w:p>
    <w:p w:rsidR="0093078E" w:rsidRDefault="0093078E" w:rsidP="007A146F">
      <w:pPr>
        <w:spacing w:after="6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iCs/>
          <w:sz w:val="28"/>
          <w:szCs w:val="28"/>
          <w:lang w:val="nl-NL"/>
        </w:rPr>
        <w:t>Về lĩnh vực tài nguyên môi trường</w:t>
      </w:r>
      <w:r>
        <w:rPr>
          <w:rFonts w:ascii="Times New Roman" w:hAnsi="Times New Roman" w:cs="Times New Roman"/>
          <w:sz w:val="28"/>
          <w:szCs w:val="28"/>
          <w:lang w:val="nl-NL"/>
        </w:rPr>
        <w:t>: đã tập trung chỉ đạo, giải quyết vướng mắc trong việc bồi thường, giải phóng mặt bằng và ban hành hệ số điều chỉnh giá đất để tính tiền bồi thường khi Nhà nước thu hồi đất. Việc thu hồi đất, giao đất, thuê đất, chuyển đổi mục đích sử dụng đất trên địa bàn tỉnh đã được phê duyệt. Sáu tháng đầu năm đã cho thuê đất 13 dự án với tổng diện tích 26,4ha.</w:t>
      </w:r>
    </w:p>
    <w:p w:rsidR="0093078E" w:rsidRDefault="0093078E" w:rsidP="007A146F">
      <w:pPr>
        <w:spacing w:after="6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Thời gian giải quyết thủ tục đăng ký đất đai, tài sản gắn liền với đất, cấp giấy chứng nhận quyền sử dụng đất, quyền sở hữu nhà ở và tài sản khác gắn liền với đất được rút ngắn xuống còn không quá 14 ngày.</w:t>
      </w:r>
    </w:p>
    <w:p w:rsidR="0093078E" w:rsidRDefault="0093078E" w:rsidP="007A146F">
      <w:pPr>
        <w:spacing w:after="60" w:line="240" w:lineRule="auto"/>
        <w:ind w:firstLine="706"/>
        <w:jc w:val="both"/>
        <w:rPr>
          <w:rFonts w:ascii="Times New Roman" w:hAnsi="Times New Roman" w:cs="Times New Roman"/>
          <w:sz w:val="28"/>
          <w:szCs w:val="28"/>
          <w:lang w:val="nl-NL"/>
        </w:rPr>
      </w:pPr>
      <w:r>
        <w:rPr>
          <w:rFonts w:ascii="Times New Roman" w:hAnsi="Times New Roman" w:cs="Times New Roman"/>
          <w:i/>
          <w:iCs/>
          <w:sz w:val="28"/>
          <w:szCs w:val="28"/>
          <w:lang w:val="nl-NL"/>
        </w:rPr>
        <w:t>- Về lĩnh vực xây dựng</w:t>
      </w:r>
      <w:r>
        <w:rPr>
          <w:rFonts w:ascii="Times New Roman" w:hAnsi="Times New Roman" w:cs="Times New Roman"/>
          <w:sz w:val="28"/>
          <w:szCs w:val="28"/>
          <w:lang w:val="nl-NL"/>
        </w:rPr>
        <w:t xml:space="preserve">: Rút ngắn tối đa thời gian giải quyết các thủ tục hành chính tạo thuận lợi cho các doanh nghiệp triển khai thực hiện các dự án; công khai thông tin liên quan tới công tác quy hoạch xây dựng trên trang thông tin của tỉnh. </w:t>
      </w:r>
    </w:p>
    <w:p w:rsidR="0093078E" w:rsidRDefault="0093078E" w:rsidP="007A146F">
      <w:pPr>
        <w:spacing w:after="6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Thời gian cấp phép xây dựng và các thủ tục liên quan tối đa được rút ngắn xuống còn không quá 120 ngày, bao gồm: thẩm định thiết kế cơ sở không quá 30 ngày đối với dự án nhóm A, 20 ngày đối với dự án nhóm B và 15 ngày đối với dự án nhóm C; thẩm định thiết kế, dự toán xây dựng không quá 40 ngày đối với công trình cấp I, cấp đặc biệt, 30 ngày đối công trình cấp II, cấp III và không quá 20 ngày đối với công trình còn lại; cấp giấy phép xây dựng xuống còn 05 ngày.</w:t>
      </w:r>
    </w:p>
    <w:p w:rsidR="0093078E" w:rsidRDefault="0093078E" w:rsidP="007A146F">
      <w:pPr>
        <w:spacing w:after="60" w:line="240" w:lineRule="auto"/>
        <w:ind w:firstLine="706"/>
        <w:jc w:val="both"/>
        <w:rPr>
          <w:rFonts w:ascii="Times New Roman" w:hAnsi="Times New Roman" w:cs="Times New Roman"/>
          <w:color w:val="000000"/>
          <w:sz w:val="28"/>
          <w:szCs w:val="28"/>
          <w:lang w:val="vi-VN"/>
        </w:rPr>
      </w:pPr>
      <w:r>
        <w:rPr>
          <w:rFonts w:ascii="Times New Roman" w:hAnsi="Times New Roman" w:cs="Times New Roman"/>
          <w:i/>
          <w:iCs/>
          <w:color w:val="000000"/>
          <w:sz w:val="28"/>
          <w:szCs w:val="28"/>
          <w:lang w:val="nl-NL"/>
        </w:rPr>
        <w:t>- Về lĩnh vực thuế</w:t>
      </w:r>
      <w:r>
        <w:rPr>
          <w:rFonts w:ascii="Times New Roman" w:hAnsi="Times New Roman" w:cs="Times New Roman"/>
          <w:color w:val="000000"/>
          <w:sz w:val="28"/>
          <w:szCs w:val="28"/>
          <w:lang w:val="nl-NL"/>
        </w:rPr>
        <w:t>:</w:t>
      </w:r>
      <w:r>
        <w:rPr>
          <w:rFonts w:ascii="Times New Roman" w:hAnsi="Times New Roman" w:cs="Times New Roman"/>
          <w:sz w:val="28"/>
          <w:szCs w:val="28"/>
          <w:lang w:val="nl-NL"/>
        </w:rPr>
        <w:t xml:space="preserve"> thực hiện tốt việc tiếp nhận, xử lý phán ánh, kiến nghị của cá nhân, tổ chức về các quy định hành chính. Công khai địa chỉ để người nộp thuế thực hiện phản ánh kiến nghị về quy định thủ tục hành chính tại bộ phận một cửa của cơ quan Thuế. Đảm bảo</w:t>
      </w:r>
      <w:r>
        <w:rPr>
          <w:rFonts w:ascii="Times New Roman" w:hAnsi="Times New Roman" w:cs="Times New Roman"/>
          <w:color w:val="000000"/>
          <w:sz w:val="28"/>
          <w:szCs w:val="28"/>
          <w:lang w:val="vi-VN"/>
        </w:rPr>
        <w:t xml:space="preserve"> 100% hồ sơ khiếu nại của người nộp thuế được giải</w:t>
      </w:r>
      <w:r>
        <w:rPr>
          <w:rStyle w:val="apple-converted-space"/>
          <w:rFonts w:ascii="Times New Roman" w:hAnsi="Times New Roman"/>
          <w:color w:val="000000"/>
          <w:sz w:val="28"/>
          <w:szCs w:val="28"/>
          <w:lang w:val="vi-VN"/>
        </w:rPr>
        <w:t> </w:t>
      </w:r>
      <w:r>
        <w:rPr>
          <w:rFonts w:ascii="Times New Roman" w:hAnsi="Times New Roman" w:cs="Times New Roman"/>
          <w:color w:val="000000"/>
          <w:sz w:val="28"/>
          <w:szCs w:val="28"/>
          <w:shd w:val="clear" w:color="auto" w:fill="FFFFFF"/>
          <w:lang w:val="vi-VN"/>
        </w:rPr>
        <w:t>quyết</w:t>
      </w:r>
      <w:r>
        <w:rPr>
          <w:rStyle w:val="apple-converted-space"/>
          <w:rFonts w:ascii="Times New Roman" w:hAnsi="Times New Roman"/>
          <w:color w:val="000000"/>
          <w:sz w:val="28"/>
          <w:szCs w:val="28"/>
          <w:lang w:val="vi-VN"/>
        </w:rPr>
        <w:t> </w:t>
      </w:r>
      <w:r>
        <w:rPr>
          <w:rFonts w:ascii="Times New Roman" w:hAnsi="Times New Roman" w:cs="Times New Roman"/>
          <w:color w:val="000000"/>
          <w:sz w:val="28"/>
          <w:szCs w:val="28"/>
          <w:lang w:val="vi-VN"/>
        </w:rPr>
        <w:t>đúng thời gian quy định của pháp</w:t>
      </w:r>
      <w:r>
        <w:rPr>
          <w:rStyle w:val="apple-converted-space"/>
          <w:rFonts w:ascii="Times New Roman" w:hAnsi="Times New Roman"/>
          <w:color w:val="000000"/>
          <w:sz w:val="28"/>
          <w:szCs w:val="28"/>
          <w:lang w:val="vi-VN"/>
        </w:rPr>
        <w:t> </w:t>
      </w:r>
      <w:r>
        <w:rPr>
          <w:rFonts w:ascii="Times New Roman" w:hAnsi="Times New Roman" w:cs="Times New Roman"/>
          <w:color w:val="000000"/>
          <w:sz w:val="28"/>
          <w:szCs w:val="28"/>
          <w:lang w:val="nl-NL"/>
        </w:rPr>
        <w:t>l</w:t>
      </w:r>
      <w:r>
        <w:rPr>
          <w:rFonts w:ascii="Times New Roman" w:hAnsi="Times New Roman" w:cs="Times New Roman"/>
          <w:color w:val="000000"/>
          <w:sz w:val="28"/>
          <w:szCs w:val="28"/>
          <w:lang w:val="vi-VN"/>
        </w:rPr>
        <w:t>uật. Công khai, minh bạch quy trình thanh</w:t>
      </w:r>
      <w:r>
        <w:rPr>
          <w:rStyle w:val="apple-converted-space"/>
          <w:rFonts w:ascii="Times New Roman" w:hAnsi="Times New Roman"/>
          <w:color w:val="000000"/>
          <w:sz w:val="28"/>
          <w:szCs w:val="28"/>
          <w:lang w:val="vi-VN"/>
        </w:rPr>
        <w:t> </w:t>
      </w:r>
      <w:r>
        <w:rPr>
          <w:rFonts w:ascii="Times New Roman" w:hAnsi="Times New Roman" w:cs="Times New Roman"/>
          <w:color w:val="000000"/>
          <w:sz w:val="28"/>
          <w:szCs w:val="28"/>
          <w:lang w:val="vi-VN"/>
        </w:rPr>
        <w:t>tra, giải quyết khiếu nại và hoàn thuế giá trị gia tăng.</w:t>
      </w:r>
    </w:p>
    <w:p w:rsidR="0093078E" w:rsidRDefault="0093078E">
      <w:pPr>
        <w:tabs>
          <w:tab w:val="left" w:leader="dot" w:pos="86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Về khởi nghiệp đổi mới sáng tạo:</w:t>
      </w:r>
      <w:r>
        <w:rPr>
          <w:rFonts w:ascii="Times New Roman" w:hAnsi="Times New Roman" w:cs="Times New Roman"/>
          <w:color w:val="000000"/>
          <w:sz w:val="28"/>
          <w:szCs w:val="28"/>
        </w:rPr>
        <w:t xml:space="preserve"> Đã t</w:t>
      </w:r>
      <w:r>
        <w:rPr>
          <w:rFonts w:ascii="Times New Roman" w:hAnsi="Times New Roman" w:cs="Times New Roman"/>
          <w:sz w:val="28"/>
          <w:szCs w:val="28"/>
        </w:rPr>
        <w:t xml:space="preserve">húc đẩy thành lập các Câu lạc bộ khởi nghiệp trong cộng đồng sinh viên. Tổ chức thành công các cuộc thi tìm kiếm ý tưởng khởi nghiệp để thu hút các cá nhân và tổ chức tham gia. Hỗ trợ lựa chọn các ý tưởng khởi nghiệp tiềm năng và đưa vào chương trình ươm tạo, giúp các ý tưởng trở thành các dự án khởi nghiệp có sức sống và tồn tại được trên thị trường. Tổ chức thành công các cuộc thi tìm kiếm ý tưởng khởi nghiệp để thu hút các cá nhân và tổ chức tham gia. Hỗ trợ lựa chọn các ý tưởng khởi nghiệp tiềm năng và đưa vào chương trình ươm tạo, giúp các ý tưởng trở thành các dự án khởi nghiệp có sức sống và tồn tại được trên thị trường. Điển hình đến nay, có </w:t>
      </w:r>
      <w:r>
        <w:rPr>
          <w:rFonts w:ascii="Times New Roman" w:hAnsi="Times New Roman" w:cs="Times New Roman"/>
          <w:color w:val="000000"/>
          <w:sz w:val="28"/>
          <w:szCs w:val="28"/>
        </w:rPr>
        <w:t xml:space="preserve">4/6 nhóm khởi nghiệp trong và sau quá trình ươm tạo tại </w:t>
      </w:r>
      <w:r>
        <w:rPr>
          <w:rFonts w:ascii="Times New Roman" w:hAnsi="Times New Roman" w:cs="Times New Roman"/>
          <w:sz w:val="28"/>
          <w:szCs w:val="28"/>
        </w:rPr>
        <w:t>Công ty cổ phần cổ phần Tư vấn và Đầu tư Cộng hưởng (CoPLUS)</w:t>
      </w:r>
      <w:r>
        <w:rPr>
          <w:rFonts w:ascii="Times New Roman" w:hAnsi="Times New Roman" w:cs="Times New Roman"/>
          <w:color w:val="000000"/>
          <w:sz w:val="28"/>
          <w:szCs w:val="28"/>
        </w:rPr>
        <w:t xml:space="preserve"> đã hình thành doanh nghiệp và bắt đầu kinh doanh có hiệu quả; 2/6 doanh nghiệp lọt vào danh sách 100 startups của mạng lưới gọi vốn đầu tư iAngel; nhóm Vườn treo đạt giải ba cuộc thi khởi nghiệp nông nghiệp quốc gia VCCI; nhóm I Love Huế với ý tưởng phát triển thành dự án I Love Asia lọt vào top 4 của MIST (cuộc thi khởi nghiệp Đông Nam Á cho các ý tưởng khởi nghiệp du lịch); nhóm Giấy Xanh lọt vòng chung kết Vietnam Women in STEM: Wepics Competition đang diễn ra tại Đà Nẵng,…</w:t>
      </w:r>
    </w:p>
    <w:p w:rsidR="0093078E" w:rsidRDefault="0093078E" w:rsidP="007A146F">
      <w:pPr>
        <w:pStyle w:val="NormalWeb"/>
        <w:spacing w:before="120" w:beforeAutospacing="0" w:after="120" w:afterAutospacing="0"/>
        <w:ind w:firstLine="706"/>
        <w:jc w:val="both"/>
        <w:rPr>
          <w:b/>
          <w:bCs/>
          <w:color w:val="000000"/>
          <w:sz w:val="28"/>
          <w:szCs w:val="28"/>
        </w:rPr>
      </w:pPr>
      <w:r>
        <w:rPr>
          <w:b/>
          <w:bCs/>
          <w:color w:val="000000"/>
          <w:sz w:val="28"/>
          <w:szCs w:val="28"/>
        </w:rPr>
        <w:t>Những cam kết hỗ trợ khác</w:t>
      </w:r>
    </w:p>
    <w:p w:rsidR="0093078E" w:rsidRDefault="0093078E" w:rsidP="007A146F">
      <w:pPr>
        <w:tabs>
          <w:tab w:val="left" w:pos="990"/>
        </w:tabs>
        <w:spacing w:after="6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UBND tỉnh đã thành lập Tổ Công tác Liên ngành, thường xuyên làm việc với các doanh nghiệp, nhà đầu tư nhằm tư vấn chính sách, hỗ trợ pháp lý, nắm bắt các khó khăn vướng mắc kịp thời đề xuất tháo gỡ. </w:t>
      </w:r>
    </w:p>
    <w:p w:rsidR="0093078E" w:rsidRDefault="0093078E" w:rsidP="007A146F">
      <w:pPr>
        <w:tabs>
          <w:tab w:val="left" w:pos="990"/>
        </w:tabs>
        <w:spacing w:after="60" w:line="240" w:lineRule="auto"/>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Tổ chức cung cấp công khai và thường xuyên các thông tin liên quan đến quy hoạch, kế hoạch kinh tế - xã hội, quy hoạch xây dựng, quy hoạch sử dụng đất đai, các chính sách ưu đãi của Tỉnh, danh mục các dự án kêu gọi đầu tư, quy trình thủ tục hành chính thuộc trách nhiệm giải quyết... trên Trang thông tin điện tử và tại các công sở.</w:t>
      </w:r>
    </w:p>
    <w:p w:rsidR="0093078E" w:rsidRDefault="0093078E" w:rsidP="007A146F">
      <w:pPr>
        <w:tabs>
          <w:tab w:val="left" w:pos="990"/>
        </w:tabs>
        <w:spacing w:after="120" w:line="240" w:lineRule="auto"/>
        <w:ind w:firstLine="706"/>
        <w:jc w:val="both"/>
        <w:rPr>
          <w:rFonts w:ascii="Times New Roman" w:hAnsi="Times New Roman" w:cs="Times New Roman"/>
          <w:sz w:val="28"/>
          <w:szCs w:val="28"/>
          <w:lang w:val="af-ZA"/>
        </w:rPr>
      </w:pPr>
      <w:r>
        <w:rPr>
          <w:rFonts w:ascii="Times New Roman" w:hAnsi="Times New Roman" w:cs="Times New Roman"/>
          <w:sz w:val="28"/>
          <w:szCs w:val="28"/>
          <w:lang w:val="af-ZA"/>
        </w:rPr>
        <w:t>- Hoàn thiện cơ sở hạ tầng đến các vùng trọng điểm kêu gọi đầu tư như các Khu Công nghiệp, Khu Kinh tế Chân Mây Lăng Cô, vùng ven biển đầm phá, thành phố Huế, Khu du lịch sinh thái Bạch Mã,...</w:t>
      </w:r>
    </w:p>
    <w:p w:rsidR="0093078E" w:rsidRDefault="0093078E">
      <w:pPr>
        <w:ind w:firstLine="567"/>
        <w:jc w:val="both"/>
        <w:rPr>
          <w:rFonts w:ascii="Times New Roman" w:hAnsi="Times New Roman" w:cs="Times New Roman"/>
          <w:sz w:val="28"/>
          <w:szCs w:val="28"/>
        </w:rPr>
      </w:pPr>
      <w:r w:rsidRPr="007A146F">
        <w:rPr>
          <w:rFonts w:ascii="Times New Roman" w:hAnsi="Times New Roman" w:cs="Times New Roman"/>
          <w:b/>
          <w:bCs/>
          <w:sz w:val="28"/>
          <w:szCs w:val="28"/>
        </w:rPr>
        <w:t>Đặc biệt</w:t>
      </w:r>
      <w:r>
        <w:rPr>
          <w:rFonts w:ascii="Times New Roman" w:hAnsi="Times New Roman" w:cs="Times New Roman"/>
          <w:sz w:val="28"/>
          <w:szCs w:val="28"/>
        </w:rPr>
        <w:t xml:space="preserve">, trong năm nay, tỉnh Thừa Thiên Huế đưa vào triển khai đánh giá năng lực cạnh tranh các sở ban ngành và địa phương (gọi tắt là DDCI) trên địa bàn tỉnh Thừa Thiên Huế. Bộ chỉ số DDCI được xây dựng trên cơ sở ý kiến đánh giá, phản hồi của nhà đầu tư, doanh nghiệp, hộ kinh doanh cá thể, hợp tác xã đang đầu tư, hoạt động sản xuất, kinh doanh trên địa bàn tỉnh về chất lượng điều hành của các sở ban ngành và UBND cấp huyện với mục tiêu </w:t>
      </w:r>
      <w:r>
        <w:rPr>
          <w:rFonts w:ascii="Times New Roman" w:hAnsi="Times New Roman" w:cs="Times New Roman"/>
          <w:color w:val="000000"/>
          <w:sz w:val="28"/>
          <w:szCs w:val="28"/>
          <w:shd w:val="clear" w:color="auto" w:fill="FFFFFF"/>
        </w:rPr>
        <w:t xml:space="preserve">tạo sự cạnh tranh, thi đua về chất lượng điều hành kinh tế giữa chính quyền các huyện, thị xã, thành phố và các </w:t>
      </w:r>
      <w:r>
        <w:rPr>
          <w:rFonts w:ascii="Times New Roman" w:hAnsi="Times New Roman" w:cs="Times New Roman"/>
          <w:sz w:val="28"/>
          <w:szCs w:val="28"/>
        </w:rPr>
        <w:t xml:space="preserve">sở ban ngành </w:t>
      </w:r>
      <w:r>
        <w:rPr>
          <w:rFonts w:ascii="Times New Roman" w:hAnsi="Times New Roman" w:cs="Times New Roman"/>
          <w:color w:val="000000"/>
          <w:sz w:val="28"/>
          <w:szCs w:val="28"/>
          <w:shd w:val="clear" w:color="auto" w:fill="FFFFFF"/>
        </w:rPr>
        <w:t>thuộc tỉnh; tạo động lực cải cách quyết liệt, đồng bộ nâng cao chất lượng giải quyết thủ tục hành chính liên quan đến nhà đầu tư, doanh nghiệp; xây dựng kênh thông tin tin cậy, rộng rãi và minh bạch để nhà đầu tư, doanh nghiệp tham gia đóng góp ý kiến xây dựng chính quyền địa phương và các sở ban ngành; và tạo môi trường thuận lợi cho hoạt động đầu tư, sản xuất kinh doanh trên các lĩnh vực.</w:t>
      </w:r>
    </w:p>
    <w:p w:rsidR="0093078E" w:rsidRDefault="0093078E">
      <w:pPr>
        <w:spacing w:after="0"/>
        <w:ind w:firstLine="720"/>
        <w:jc w:val="both"/>
        <w:rPr>
          <w:rFonts w:ascii="Times New Roman" w:hAnsi="Times New Roman" w:cs="Times New Roman"/>
          <w:sz w:val="28"/>
          <w:szCs w:val="28"/>
        </w:rPr>
      </w:pPr>
      <w:r>
        <w:rPr>
          <w:rFonts w:ascii="Times New Roman" w:hAnsi="Times New Roman" w:cs="Times New Roman"/>
          <w:sz w:val="28"/>
          <w:szCs w:val="28"/>
        </w:rPr>
        <w:t>Năm 2018, UBND tỉnh tổ chức đánh giá DDCI cho 32 sở ban ngành và địa phương. Trong đó:</w:t>
      </w:r>
    </w:p>
    <w:p w:rsidR="0093078E" w:rsidRDefault="0093078E">
      <w:pPr>
        <w:spacing w:after="0"/>
        <w:jc w:val="both"/>
        <w:rPr>
          <w:rFonts w:ascii="Times New Roman" w:hAnsi="Times New Roman" w:cs="Times New Roman"/>
          <w:sz w:val="28"/>
          <w:szCs w:val="28"/>
        </w:rPr>
      </w:pPr>
      <w:r>
        <w:rPr>
          <w:rFonts w:ascii="Times New Roman" w:hAnsi="Times New Roman" w:cs="Times New Roman"/>
          <w:sz w:val="28"/>
          <w:szCs w:val="28"/>
        </w:rPr>
        <w:t xml:space="preserve">+ Có 23 sở ban ngành gồm: Sở Kế hoạch và Đầu tư, Sở Tài nguyên và Môi trường, Sở Xây dựng, Sở Du lịch, Sở Công thương, Sở Lao động Thương binh và xã hội, Sở Tư pháp, Sở Giáo dục và Đào tạo, Sở Y tế, Sở Văn hóa và Thể thao, Sở Giao thông và Vận tải, Sở Nông nghiệp và Phát triển nông thôn, Sở Khoa học và Công nghệ, Sở Thông tin và Truyền thông, Sở Nội Vụ, Sở Tài chính, Văn phòng UBND tỉnh, Ban Quản lý khu kinh tế Công nghiệp, Ban Quản lý KVPTĐT, Cục thuế, Cục Hải quan, Bảo hiểm xã hội, Công an tỉnh; </w:t>
      </w:r>
    </w:p>
    <w:p w:rsidR="0093078E" w:rsidRDefault="0093078E">
      <w:pPr>
        <w:spacing w:after="120"/>
        <w:jc w:val="both"/>
        <w:rPr>
          <w:rFonts w:ascii="Times New Roman" w:hAnsi="Times New Roman" w:cs="Times New Roman"/>
          <w:sz w:val="28"/>
          <w:szCs w:val="28"/>
        </w:rPr>
      </w:pPr>
      <w:r>
        <w:rPr>
          <w:rFonts w:ascii="Times New Roman" w:hAnsi="Times New Roman" w:cs="Times New Roman"/>
          <w:sz w:val="28"/>
          <w:szCs w:val="28"/>
        </w:rPr>
        <w:t>+ Và 09 UBND cấp huyện gồm: UBND Thành phố, UBND Thị xã Hương Thủy, UBND Thị xã Hương Trà, UBND huyện Phú Lộc, UBND huyện Nam Đông, UBND huyện Phú Vang, UBND huyện Quảng Điền, UBND huyện Phong Điền, UBND huyện A Lưới.</w:t>
      </w:r>
    </w:p>
    <w:p w:rsidR="0093078E" w:rsidRDefault="0093078E">
      <w:pPr>
        <w:widowControl w:val="0"/>
        <w:spacing w:before="120" w:after="120" w:line="340" w:lineRule="exact"/>
        <w:ind w:firstLine="720"/>
        <w:jc w:val="both"/>
        <w:rPr>
          <w:rFonts w:ascii="Times New Roman" w:eastAsia="MS Mincho" w:hAnsi="Times New Roman" w:cs="Times New Roman"/>
          <w:sz w:val="28"/>
          <w:szCs w:val="28"/>
          <w:lang w:eastAsia="ja-JP"/>
        </w:rPr>
      </w:pPr>
      <w:r>
        <w:rPr>
          <w:rFonts w:ascii="Times New Roman" w:hAnsi="Times New Roman" w:cs="Times New Roman"/>
          <w:color w:val="000000"/>
          <w:sz w:val="28"/>
          <w:szCs w:val="28"/>
        </w:rPr>
        <w:t>Cuộc khảo sát được tổ chức định kỳ hàng năm</w:t>
      </w:r>
      <w:r>
        <w:rPr>
          <w:rFonts w:ascii="Times New Roman" w:hAnsi="Times New Roman" w:cs="Times New Roman"/>
          <w:sz w:val="28"/>
          <w:szCs w:val="28"/>
        </w:rPr>
        <w:t xml:space="preserve"> và chính thức bắt đầu vào tháng 8 năm 2018 thông qua hình thức khảo sát trực tiếp tại doanh nghiệp, khảo sát qua đường thư tín và khảo sát thông qua môi trường mạng tại Website DDCI. </w:t>
      </w:r>
      <w:r>
        <w:rPr>
          <w:rFonts w:ascii="Times New Roman" w:eastAsia="MS Mincho" w:hAnsi="Times New Roman" w:cs="Times New Roman"/>
          <w:sz w:val="28"/>
          <w:szCs w:val="28"/>
          <w:lang w:eastAsia="ja-JP"/>
        </w:rPr>
        <w:t>Để đảm bảo tính khách quan, việc triển khai, đánh giá DDCI sẽ do một đơn vị nghiên cứu độc lập tiến hành thực hiện và phối hợp cùng Hội Doanh nhân trẻ, Hiệp hội Doanh nghiệp tỉnh</w:t>
      </w:r>
      <w:r>
        <w:rPr>
          <w:rFonts w:ascii="Times New Roman" w:eastAsia="MS Mincho" w:hAnsi="Times New Roman" w:cs="Times New Roman"/>
          <w:i/>
          <w:iCs/>
          <w:sz w:val="28"/>
          <w:szCs w:val="28"/>
          <w:lang w:eastAsia="ja-JP"/>
        </w:rPr>
        <w:t xml:space="preserve"> </w:t>
      </w:r>
      <w:r>
        <w:rPr>
          <w:rFonts w:ascii="Times New Roman" w:eastAsia="MS Mincho" w:hAnsi="Times New Roman" w:cs="Times New Roman"/>
          <w:sz w:val="28"/>
          <w:szCs w:val="28"/>
          <w:lang w:eastAsia="ja-JP"/>
        </w:rPr>
        <w:t>trong quá trình triển khai, đánh giá nhằm mục đích chuyển giao giải pháp cho những năm tiếp theo.</w:t>
      </w:r>
    </w:p>
    <w:p w:rsidR="0093078E" w:rsidRDefault="0093078E">
      <w:pPr>
        <w:shd w:val="clear" w:color="auto" w:fill="FFFFFF"/>
        <w:spacing w:before="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Kết quả DDCI sẽ làm cơ sở để UBND tỉnh đánh giá công tác thi đua, xếp loại mức độ hoàn thành nhiệm vụ hàng năm của các sở ban ngành, địa phương và được công bố vào ngày gặp mặt doanh nghiệp đầu năm của tỉnh.</w:t>
      </w:r>
    </w:p>
    <w:p w:rsidR="0093078E" w:rsidRDefault="0093078E">
      <w:pPr>
        <w:ind w:firstLine="567"/>
        <w:jc w:val="both"/>
        <w:rPr>
          <w:rFonts w:ascii="Times New Roman" w:hAnsi="Times New Roman" w:cs="Times New Roman"/>
          <w:sz w:val="28"/>
          <w:szCs w:val="28"/>
        </w:rPr>
      </w:pPr>
      <w:r>
        <w:rPr>
          <w:rFonts w:ascii="Times New Roman" w:hAnsi="Times New Roman" w:cs="Times New Roman"/>
          <w:sz w:val="28"/>
          <w:szCs w:val="28"/>
        </w:rPr>
        <w:t>Mong rằng với những nổ lực trên của tỉnh sẽ nhận được sự ghi nhận và tham gia tích cực của doanh nghiệp hướng đến chính quyền và doanh nghiệp có chung tiếng nói trong công cuộc phát triển, đưa tỉnh Thừa Thiên Huế lớn mạnh và phát triển xứng đáng với tiềm năng và vị trí của tỉnh.</w:t>
      </w:r>
    </w:p>
    <w:p w:rsidR="0093078E" w:rsidRDefault="0093078E">
      <w:pPr>
        <w:pStyle w:val="ListParagraph"/>
        <w:shd w:val="clear" w:color="auto" w:fill="FFFFFF"/>
        <w:spacing w:before="120" w:line="240" w:lineRule="auto"/>
        <w:ind w:left="1080" w:hanging="1170"/>
        <w:jc w:val="center"/>
        <w:rPr>
          <w:rFonts w:ascii="Times New Roman" w:hAnsi="Times New Roman" w:cs="Times New Roman"/>
          <w:color w:val="000000"/>
          <w:sz w:val="28"/>
          <w:szCs w:val="28"/>
        </w:rPr>
      </w:pPr>
      <w:r>
        <w:rPr>
          <w:rFonts w:ascii="Times New Roman" w:hAnsi="Times New Roman" w:cs="Times New Roman"/>
          <w:color w:val="000000"/>
          <w:sz w:val="28"/>
          <w:szCs w:val="28"/>
        </w:rPr>
        <w:t>* * *</w:t>
      </w:r>
    </w:p>
    <w:p w:rsidR="0093078E" w:rsidRDefault="0093078E">
      <w:pPr>
        <w:jc w:val="both"/>
        <w:rPr>
          <w:rFonts w:ascii="Times New Roman" w:hAnsi="Times New Roman" w:cs="Times New Roman"/>
          <w:i/>
          <w:iCs/>
          <w:sz w:val="24"/>
          <w:szCs w:val="24"/>
        </w:rPr>
      </w:pPr>
      <w:r>
        <w:rPr>
          <w:rFonts w:ascii="Times New Roman" w:hAnsi="Times New Roman" w:cs="Times New Roman"/>
          <w:i/>
          <w:iCs/>
          <w:sz w:val="24"/>
          <w:szCs w:val="24"/>
          <w:lang w:val="vi-VN"/>
        </w:rPr>
        <w:t>Để biết thêm thông tin</w:t>
      </w:r>
      <w:r>
        <w:rPr>
          <w:rFonts w:ascii="Times New Roman" w:hAnsi="Times New Roman" w:cs="Times New Roman"/>
          <w:i/>
          <w:iCs/>
          <w:sz w:val="24"/>
          <w:szCs w:val="24"/>
        </w:rPr>
        <w:t xml:space="preserve"> chi tiết:</w:t>
      </w:r>
    </w:p>
    <w:p w:rsidR="0093078E" w:rsidRDefault="0093078E">
      <w:pPr>
        <w:jc w:val="both"/>
        <w:rPr>
          <w:rFonts w:ascii="Times New Roman" w:hAnsi="Times New Roman" w:cs="Times New Roman"/>
          <w:i/>
          <w:iCs/>
          <w:color w:val="222222"/>
          <w:sz w:val="24"/>
          <w:szCs w:val="24"/>
          <w:shd w:val="clear" w:color="auto" w:fill="FFFFFF"/>
        </w:rPr>
      </w:pPr>
      <w:r>
        <w:rPr>
          <w:rFonts w:ascii="Times New Roman" w:hAnsi="Times New Roman" w:cs="Times New Roman"/>
          <w:i/>
          <w:iCs/>
          <w:sz w:val="24"/>
          <w:szCs w:val="24"/>
        </w:rPr>
        <w:t>- Về Bộ chỉ số DDCI</w:t>
      </w:r>
      <w:r>
        <w:rPr>
          <w:rFonts w:ascii="Times New Roman" w:hAnsi="Times New Roman" w:cs="Times New Roman"/>
          <w:i/>
          <w:iCs/>
          <w:sz w:val="24"/>
          <w:szCs w:val="24"/>
          <w:lang w:val="vi-VN"/>
        </w:rPr>
        <w:t xml:space="preserve">, vui lòng truy cập </w:t>
      </w:r>
      <w:r>
        <w:rPr>
          <w:rFonts w:ascii="Times New Roman" w:hAnsi="Times New Roman" w:cs="Times New Roman"/>
          <w:i/>
          <w:iCs/>
          <w:sz w:val="24"/>
          <w:szCs w:val="24"/>
        </w:rPr>
        <w:t>vào Website: ddci.thuathienhue.gov.vn</w:t>
      </w:r>
      <w:r>
        <w:rPr>
          <w:rFonts w:ascii="Times New Roman" w:hAnsi="Times New Roman" w:cs="Times New Roman"/>
          <w:i/>
          <w:iCs/>
          <w:sz w:val="24"/>
          <w:szCs w:val="24"/>
          <w:lang w:val="vi-VN"/>
        </w:rPr>
        <w:t xml:space="preserve"> </w:t>
      </w:r>
      <w:r>
        <w:rPr>
          <w:rFonts w:ascii="Times New Roman" w:hAnsi="Times New Roman" w:cs="Times New Roman"/>
          <w:i/>
          <w:iCs/>
          <w:sz w:val="24"/>
          <w:szCs w:val="24"/>
        </w:rPr>
        <w:t>hoặc</w:t>
      </w:r>
      <w:bookmarkStart w:id="0" w:name="_GoBack"/>
      <w:bookmarkEnd w:id="0"/>
      <w:r>
        <w:rPr>
          <w:rFonts w:ascii="Times New Roman" w:hAnsi="Times New Roman" w:cs="Times New Roman"/>
          <w:i/>
          <w:iCs/>
          <w:sz w:val="24"/>
          <w:szCs w:val="24"/>
        </w:rPr>
        <w:t xml:space="preserve"> liên hệ Văn phòng Hội Doanh nhân trẻ (Điện thoại:</w:t>
      </w:r>
      <w:r>
        <w:rPr>
          <w:rFonts w:ascii="Times New Roman" w:hAnsi="Times New Roman" w:cs="Times New Roman"/>
          <w:i/>
          <w:iCs/>
          <w:color w:val="222222"/>
          <w:sz w:val="24"/>
          <w:szCs w:val="24"/>
          <w:shd w:val="clear" w:color="auto" w:fill="FFFFFF"/>
        </w:rPr>
        <w:t>0931.900.908 - 32 Trần Thúc Nhẫn, Thành phố Huế).</w:t>
      </w:r>
    </w:p>
    <w:p w:rsidR="0093078E" w:rsidRDefault="0093078E">
      <w:pPr>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 Về những hỗ trợ của tỉnh dành cho doanh nghiệp, vui lòng liên hệ Sở Kế hoạch và Đầu tư tỉnh Thiên Thiên Huế (Điện thoại: 0234.3846367 - 07 Tôn Đức Thắng, Thành phố Huế).</w:t>
      </w:r>
    </w:p>
    <w:p w:rsidR="0093078E" w:rsidRDefault="0093078E">
      <w:pPr>
        <w:jc w:val="both"/>
        <w:rPr>
          <w:rFonts w:ascii="Times New Roman" w:hAnsi="Times New Roman" w:cs="Times New Roman"/>
          <w:sz w:val="20"/>
          <w:szCs w:val="20"/>
        </w:rPr>
      </w:pPr>
    </w:p>
    <w:p w:rsidR="0093078E" w:rsidRDefault="0093078E">
      <w:pPr>
        <w:spacing w:line="360" w:lineRule="auto"/>
        <w:jc w:val="both"/>
        <w:rPr>
          <w:rFonts w:ascii="Times New Roman" w:hAnsi="Times New Roman" w:cs="Times New Roman"/>
          <w:lang w:val="vi-VN"/>
        </w:rPr>
      </w:pPr>
    </w:p>
    <w:sectPr w:rsidR="0093078E" w:rsidSect="007A146F">
      <w:headerReference w:type="default" r:id="rId6"/>
      <w:pgSz w:w="11906" w:h="16838"/>
      <w:pgMar w:top="1260" w:right="1260" w:bottom="1080" w:left="16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8E" w:rsidRDefault="0093078E">
      <w:pPr>
        <w:spacing w:after="0" w:line="240" w:lineRule="auto"/>
      </w:pPr>
      <w:r>
        <w:separator/>
      </w:r>
    </w:p>
  </w:endnote>
  <w:endnote w:type="continuationSeparator" w:id="0">
    <w:p w:rsidR="0093078E" w:rsidRDefault="0093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Meiryo"/>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8E" w:rsidRDefault="0093078E">
      <w:pPr>
        <w:spacing w:after="0" w:line="240" w:lineRule="auto"/>
      </w:pPr>
      <w:r>
        <w:separator/>
      </w:r>
    </w:p>
  </w:footnote>
  <w:footnote w:type="continuationSeparator" w:id="0">
    <w:p w:rsidR="0093078E" w:rsidRDefault="00930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8E" w:rsidRDefault="0093078E">
    <w:pPr>
      <w:pStyle w:val="Header"/>
      <w:ind w:left="-1440" w:firstLine="8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E5E"/>
    <w:rsid w:val="00000DFA"/>
    <w:rsid w:val="00003391"/>
    <w:rsid w:val="000061D1"/>
    <w:rsid w:val="00014802"/>
    <w:rsid w:val="00017140"/>
    <w:rsid w:val="00020A5B"/>
    <w:rsid w:val="00037B52"/>
    <w:rsid w:val="00046AC6"/>
    <w:rsid w:val="00055F4F"/>
    <w:rsid w:val="0005730D"/>
    <w:rsid w:val="00060171"/>
    <w:rsid w:val="00060A3C"/>
    <w:rsid w:val="00060E27"/>
    <w:rsid w:val="00063381"/>
    <w:rsid w:val="000643B4"/>
    <w:rsid w:val="0007422F"/>
    <w:rsid w:val="00076015"/>
    <w:rsid w:val="00086D8A"/>
    <w:rsid w:val="00090B12"/>
    <w:rsid w:val="00090C50"/>
    <w:rsid w:val="00092B07"/>
    <w:rsid w:val="000B0889"/>
    <w:rsid w:val="000B176F"/>
    <w:rsid w:val="000B1E8A"/>
    <w:rsid w:val="000B2271"/>
    <w:rsid w:val="000B2D87"/>
    <w:rsid w:val="000C387E"/>
    <w:rsid w:val="000C75A8"/>
    <w:rsid w:val="000D0410"/>
    <w:rsid w:val="000D3661"/>
    <w:rsid w:val="000D6AD6"/>
    <w:rsid w:val="000E1EA2"/>
    <w:rsid w:val="00103DFE"/>
    <w:rsid w:val="001066DC"/>
    <w:rsid w:val="001074D7"/>
    <w:rsid w:val="00107ADA"/>
    <w:rsid w:val="001120C0"/>
    <w:rsid w:val="00116164"/>
    <w:rsid w:val="0012559F"/>
    <w:rsid w:val="001264BE"/>
    <w:rsid w:val="00131C56"/>
    <w:rsid w:val="001379C2"/>
    <w:rsid w:val="00144DD3"/>
    <w:rsid w:val="00150268"/>
    <w:rsid w:val="001502CF"/>
    <w:rsid w:val="0016474F"/>
    <w:rsid w:val="00171838"/>
    <w:rsid w:val="00180E72"/>
    <w:rsid w:val="00187F30"/>
    <w:rsid w:val="00192B57"/>
    <w:rsid w:val="001A17C8"/>
    <w:rsid w:val="001A7B64"/>
    <w:rsid w:val="001B0F1C"/>
    <w:rsid w:val="001B17A2"/>
    <w:rsid w:val="001B4079"/>
    <w:rsid w:val="001C6502"/>
    <w:rsid w:val="001D0E65"/>
    <w:rsid w:val="001D1929"/>
    <w:rsid w:val="001F0CA5"/>
    <w:rsid w:val="001F20DF"/>
    <w:rsid w:val="001F2CA2"/>
    <w:rsid w:val="001F53B5"/>
    <w:rsid w:val="001F7613"/>
    <w:rsid w:val="0021118E"/>
    <w:rsid w:val="00212600"/>
    <w:rsid w:val="00217AA8"/>
    <w:rsid w:val="002221F2"/>
    <w:rsid w:val="00230690"/>
    <w:rsid w:val="00233924"/>
    <w:rsid w:val="00245898"/>
    <w:rsid w:val="002463BD"/>
    <w:rsid w:val="00253F01"/>
    <w:rsid w:val="00254BBB"/>
    <w:rsid w:val="00255431"/>
    <w:rsid w:val="0025715E"/>
    <w:rsid w:val="0026268D"/>
    <w:rsid w:val="002653B6"/>
    <w:rsid w:val="00267B36"/>
    <w:rsid w:val="00276DDF"/>
    <w:rsid w:val="0028192C"/>
    <w:rsid w:val="002828F6"/>
    <w:rsid w:val="0028406D"/>
    <w:rsid w:val="00292AEF"/>
    <w:rsid w:val="0029350A"/>
    <w:rsid w:val="002937C9"/>
    <w:rsid w:val="00296326"/>
    <w:rsid w:val="002A00E5"/>
    <w:rsid w:val="002A41BD"/>
    <w:rsid w:val="002A4608"/>
    <w:rsid w:val="002B279F"/>
    <w:rsid w:val="002C7889"/>
    <w:rsid w:val="002E0EA8"/>
    <w:rsid w:val="002E42E0"/>
    <w:rsid w:val="002E4745"/>
    <w:rsid w:val="002F0C6A"/>
    <w:rsid w:val="00303485"/>
    <w:rsid w:val="00311717"/>
    <w:rsid w:val="003140AD"/>
    <w:rsid w:val="00331913"/>
    <w:rsid w:val="003409E5"/>
    <w:rsid w:val="00340FC7"/>
    <w:rsid w:val="0034148D"/>
    <w:rsid w:val="00347216"/>
    <w:rsid w:val="00351889"/>
    <w:rsid w:val="003538CF"/>
    <w:rsid w:val="003575EA"/>
    <w:rsid w:val="0036165A"/>
    <w:rsid w:val="00363607"/>
    <w:rsid w:val="00364252"/>
    <w:rsid w:val="00365172"/>
    <w:rsid w:val="00393D2F"/>
    <w:rsid w:val="00396F35"/>
    <w:rsid w:val="00397DC8"/>
    <w:rsid w:val="003B3EB1"/>
    <w:rsid w:val="003B55E0"/>
    <w:rsid w:val="003B64B2"/>
    <w:rsid w:val="003C4E5E"/>
    <w:rsid w:val="003D6B5E"/>
    <w:rsid w:val="003E023C"/>
    <w:rsid w:val="00405543"/>
    <w:rsid w:val="00420A1F"/>
    <w:rsid w:val="004257E2"/>
    <w:rsid w:val="00436C4B"/>
    <w:rsid w:val="00444B56"/>
    <w:rsid w:val="004609E0"/>
    <w:rsid w:val="0047029D"/>
    <w:rsid w:val="004705B1"/>
    <w:rsid w:val="00474879"/>
    <w:rsid w:val="004B1596"/>
    <w:rsid w:val="004B7063"/>
    <w:rsid w:val="004C16C0"/>
    <w:rsid w:val="004C4D95"/>
    <w:rsid w:val="004C63DC"/>
    <w:rsid w:val="004E1CDC"/>
    <w:rsid w:val="004E4E84"/>
    <w:rsid w:val="004E6128"/>
    <w:rsid w:val="004F041B"/>
    <w:rsid w:val="004F3A23"/>
    <w:rsid w:val="004F5A25"/>
    <w:rsid w:val="00501237"/>
    <w:rsid w:val="00501C33"/>
    <w:rsid w:val="00510490"/>
    <w:rsid w:val="00510FE0"/>
    <w:rsid w:val="005141E1"/>
    <w:rsid w:val="00516D1A"/>
    <w:rsid w:val="005230A2"/>
    <w:rsid w:val="00523A0B"/>
    <w:rsid w:val="00537498"/>
    <w:rsid w:val="00545355"/>
    <w:rsid w:val="00553BDB"/>
    <w:rsid w:val="00555433"/>
    <w:rsid w:val="005647E9"/>
    <w:rsid w:val="00570FC2"/>
    <w:rsid w:val="00575483"/>
    <w:rsid w:val="00585D2B"/>
    <w:rsid w:val="0059273C"/>
    <w:rsid w:val="005B273F"/>
    <w:rsid w:val="005B2F17"/>
    <w:rsid w:val="005B5492"/>
    <w:rsid w:val="005C5BDD"/>
    <w:rsid w:val="005D4DE8"/>
    <w:rsid w:val="005D6BDE"/>
    <w:rsid w:val="005E3202"/>
    <w:rsid w:val="005E44BE"/>
    <w:rsid w:val="005E797A"/>
    <w:rsid w:val="005F7E34"/>
    <w:rsid w:val="00600074"/>
    <w:rsid w:val="00600B02"/>
    <w:rsid w:val="006237D3"/>
    <w:rsid w:val="00623E5E"/>
    <w:rsid w:val="006370D6"/>
    <w:rsid w:val="00637A09"/>
    <w:rsid w:val="00642460"/>
    <w:rsid w:val="00650C90"/>
    <w:rsid w:val="0066459D"/>
    <w:rsid w:val="00670CC1"/>
    <w:rsid w:val="00674104"/>
    <w:rsid w:val="006856E8"/>
    <w:rsid w:val="00690F75"/>
    <w:rsid w:val="006913F4"/>
    <w:rsid w:val="0069196E"/>
    <w:rsid w:val="006A1B0D"/>
    <w:rsid w:val="006A77D1"/>
    <w:rsid w:val="006B2481"/>
    <w:rsid w:val="006B4E18"/>
    <w:rsid w:val="006B56E7"/>
    <w:rsid w:val="006B7833"/>
    <w:rsid w:val="006C1E89"/>
    <w:rsid w:val="006D2911"/>
    <w:rsid w:val="006D570B"/>
    <w:rsid w:val="006D78C6"/>
    <w:rsid w:val="006D7FD7"/>
    <w:rsid w:val="006F4F09"/>
    <w:rsid w:val="007002B5"/>
    <w:rsid w:val="0070707E"/>
    <w:rsid w:val="00716BDF"/>
    <w:rsid w:val="007210DE"/>
    <w:rsid w:val="00723CB0"/>
    <w:rsid w:val="007261AD"/>
    <w:rsid w:val="007263E0"/>
    <w:rsid w:val="00732A13"/>
    <w:rsid w:val="007418B1"/>
    <w:rsid w:val="00744CB8"/>
    <w:rsid w:val="007478FC"/>
    <w:rsid w:val="00753EBB"/>
    <w:rsid w:val="0075427D"/>
    <w:rsid w:val="007644AB"/>
    <w:rsid w:val="007677CA"/>
    <w:rsid w:val="00774C6F"/>
    <w:rsid w:val="00782186"/>
    <w:rsid w:val="007A146F"/>
    <w:rsid w:val="007A2DFD"/>
    <w:rsid w:val="007A636B"/>
    <w:rsid w:val="007A7A91"/>
    <w:rsid w:val="007B3B1A"/>
    <w:rsid w:val="007C03B9"/>
    <w:rsid w:val="007C1219"/>
    <w:rsid w:val="007C6A68"/>
    <w:rsid w:val="007D63F5"/>
    <w:rsid w:val="007E0491"/>
    <w:rsid w:val="007F108B"/>
    <w:rsid w:val="007F13C7"/>
    <w:rsid w:val="007F49FA"/>
    <w:rsid w:val="00804D51"/>
    <w:rsid w:val="00816237"/>
    <w:rsid w:val="00820505"/>
    <w:rsid w:val="0083269D"/>
    <w:rsid w:val="008462CC"/>
    <w:rsid w:val="00850431"/>
    <w:rsid w:val="00850C56"/>
    <w:rsid w:val="0085516B"/>
    <w:rsid w:val="008569C6"/>
    <w:rsid w:val="0086480D"/>
    <w:rsid w:val="008659AC"/>
    <w:rsid w:val="008723D3"/>
    <w:rsid w:val="00883A30"/>
    <w:rsid w:val="0089005E"/>
    <w:rsid w:val="00894D8A"/>
    <w:rsid w:val="008B422D"/>
    <w:rsid w:val="008C146F"/>
    <w:rsid w:val="008C1A8D"/>
    <w:rsid w:val="008C27F7"/>
    <w:rsid w:val="008C2BF5"/>
    <w:rsid w:val="008C71E6"/>
    <w:rsid w:val="008F5D4D"/>
    <w:rsid w:val="008F7DFA"/>
    <w:rsid w:val="009003D0"/>
    <w:rsid w:val="00905E8F"/>
    <w:rsid w:val="00916CEF"/>
    <w:rsid w:val="00926852"/>
    <w:rsid w:val="0093078E"/>
    <w:rsid w:val="0093493F"/>
    <w:rsid w:val="009430D5"/>
    <w:rsid w:val="00943D68"/>
    <w:rsid w:val="00950978"/>
    <w:rsid w:val="00954436"/>
    <w:rsid w:val="00954BF5"/>
    <w:rsid w:val="00970AB2"/>
    <w:rsid w:val="00970F52"/>
    <w:rsid w:val="00976DD6"/>
    <w:rsid w:val="009810F4"/>
    <w:rsid w:val="00992525"/>
    <w:rsid w:val="009A27E8"/>
    <w:rsid w:val="009B2878"/>
    <w:rsid w:val="009C729D"/>
    <w:rsid w:val="009C78E0"/>
    <w:rsid w:val="009D047D"/>
    <w:rsid w:val="009D613F"/>
    <w:rsid w:val="009E48EA"/>
    <w:rsid w:val="009E5679"/>
    <w:rsid w:val="009E5ECF"/>
    <w:rsid w:val="00A00BF5"/>
    <w:rsid w:val="00A1416A"/>
    <w:rsid w:val="00A2307F"/>
    <w:rsid w:val="00A27368"/>
    <w:rsid w:val="00A31E8D"/>
    <w:rsid w:val="00A31F2B"/>
    <w:rsid w:val="00A42BB5"/>
    <w:rsid w:val="00A531E2"/>
    <w:rsid w:val="00A66A87"/>
    <w:rsid w:val="00A74C08"/>
    <w:rsid w:val="00A83B35"/>
    <w:rsid w:val="00A90857"/>
    <w:rsid w:val="00A92746"/>
    <w:rsid w:val="00A95C64"/>
    <w:rsid w:val="00A97EB4"/>
    <w:rsid w:val="00AA4003"/>
    <w:rsid w:val="00AA5F7F"/>
    <w:rsid w:val="00AB06D9"/>
    <w:rsid w:val="00AC5109"/>
    <w:rsid w:val="00AC56DC"/>
    <w:rsid w:val="00AD5608"/>
    <w:rsid w:val="00AD7D0C"/>
    <w:rsid w:val="00AE4BDC"/>
    <w:rsid w:val="00AE654A"/>
    <w:rsid w:val="00AE771C"/>
    <w:rsid w:val="00AF5ACC"/>
    <w:rsid w:val="00AF7868"/>
    <w:rsid w:val="00B04361"/>
    <w:rsid w:val="00B066CE"/>
    <w:rsid w:val="00B1078E"/>
    <w:rsid w:val="00B1099C"/>
    <w:rsid w:val="00B245FF"/>
    <w:rsid w:val="00B27257"/>
    <w:rsid w:val="00B40764"/>
    <w:rsid w:val="00B54933"/>
    <w:rsid w:val="00B565DC"/>
    <w:rsid w:val="00B60AF8"/>
    <w:rsid w:val="00B64997"/>
    <w:rsid w:val="00B6507C"/>
    <w:rsid w:val="00B66CCA"/>
    <w:rsid w:val="00B71576"/>
    <w:rsid w:val="00B72D48"/>
    <w:rsid w:val="00B82C83"/>
    <w:rsid w:val="00B9579A"/>
    <w:rsid w:val="00BA1249"/>
    <w:rsid w:val="00BA24F3"/>
    <w:rsid w:val="00BA3B80"/>
    <w:rsid w:val="00BB21EC"/>
    <w:rsid w:val="00BD7D2C"/>
    <w:rsid w:val="00BE2C1B"/>
    <w:rsid w:val="00BE59AC"/>
    <w:rsid w:val="00C014B7"/>
    <w:rsid w:val="00C05B94"/>
    <w:rsid w:val="00C21FCE"/>
    <w:rsid w:val="00C25CF2"/>
    <w:rsid w:val="00C26255"/>
    <w:rsid w:val="00C277B9"/>
    <w:rsid w:val="00C3665A"/>
    <w:rsid w:val="00C4368B"/>
    <w:rsid w:val="00C46AC8"/>
    <w:rsid w:val="00C508EF"/>
    <w:rsid w:val="00C65B44"/>
    <w:rsid w:val="00C7036D"/>
    <w:rsid w:val="00C72BC1"/>
    <w:rsid w:val="00C7418F"/>
    <w:rsid w:val="00C80F95"/>
    <w:rsid w:val="00C856A1"/>
    <w:rsid w:val="00C858EB"/>
    <w:rsid w:val="00C873B1"/>
    <w:rsid w:val="00C9204C"/>
    <w:rsid w:val="00C93D8F"/>
    <w:rsid w:val="00C95149"/>
    <w:rsid w:val="00CA5E57"/>
    <w:rsid w:val="00CA620F"/>
    <w:rsid w:val="00CC3522"/>
    <w:rsid w:val="00CC7407"/>
    <w:rsid w:val="00CD76A1"/>
    <w:rsid w:val="00CE1F76"/>
    <w:rsid w:val="00CE26AD"/>
    <w:rsid w:val="00CE60C6"/>
    <w:rsid w:val="00CF4A5E"/>
    <w:rsid w:val="00D0684A"/>
    <w:rsid w:val="00D143A8"/>
    <w:rsid w:val="00D153ED"/>
    <w:rsid w:val="00D20CB5"/>
    <w:rsid w:val="00D261C5"/>
    <w:rsid w:val="00D361E9"/>
    <w:rsid w:val="00D37C2E"/>
    <w:rsid w:val="00D54841"/>
    <w:rsid w:val="00D61D5A"/>
    <w:rsid w:val="00D70A4A"/>
    <w:rsid w:val="00D769DC"/>
    <w:rsid w:val="00D777BD"/>
    <w:rsid w:val="00D77BED"/>
    <w:rsid w:val="00D83CB3"/>
    <w:rsid w:val="00D87B99"/>
    <w:rsid w:val="00D93A31"/>
    <w:rsid w:val="00DA0BFF"/>
    <w:rsid w:val="00DA6626"/>
    <w:rsid w:val="00DC37F1"/>
    <w:rsid w:val="00DD514D"/>
    <w:rsid w:val="00DD5E2C"/>
    <w:rsid w:val="00DE5DB0"/>
    <w:rsid w:val="00DF0C97"/>
    <w:rsid w:val="00DF4277"/>
    <w:rsid w:val="00DF6B0A"/>
    <w:rsid w:val="00E05C5A"/>
    <w:rsid w:val="00E10838"/>
    <w:rsid w:val="00E12E33"/>
    <w:rsid w:val="00E15DDA"/>
    <w:rsid w:val="00E22A15"/>
    <w:rsid w:val="00E23991"/>
    <w:rsid w:val="00E4284F"/>
    <w:rsid w:val="00E42B11"/>
    <w:rsid w:val="00E45036"/>
    <w:rsid w:val="00E4514C"/>
    <w:rsid w:val="00E542A8"/>
    <w:rsid w:val="00E61780"/>
    <w:rsid w:val="00E6443F"/>
    <w:rsid w:val="00E87825"/>
    <w:rsid w:val="00E912E8"/>
    <w:rsid w:val="00E94430"/>
    <w:rsid w:val="00E96932"/>
    <w:rsid w:val="00EA22CD"/>
    <w:rsid w:val="00EB0DF6"/>
    <w:rsid w:val="00EC14DC"/>
    <w:rsid w:val="00EC3CB2"/>
    <w:rsid w:val="00EC7CA6"/>
    <w:rsid w:val="00ED130F"/>
    <w:rsid w:val="00EF6BF7"/>
    <w:rsid w:val="00EF7189"/>
    <w:rsid w:val="00F02E18"/>
    <w:rsid w:val="00F03B6F"/>
    <w:rsid w:val="00F05756"/>
    <w:rsid w:val="00F0695D"/>
    <w:rsid w:val="00F14EFA"/>
    <w:rsid w:val="00F21B6E"/>
    <w:rsid w:val="00F24F8E"/>
    <w:rsid w:val="00F268DD"/>
    <w:rsid w:val="00F42AC4"/>
    <w:rsid w:val="00F501E8"/>
    <w:rsid w:val="00F510CA"/>
    <w:rsid w:val="00F518C9"/>
    <w:rsid w:val="00F63AFE"/>
    <w:rsid w:val="00F64833"/>
    <w:rsid w:val="00F662F5"/>
    <w:rsid w:val="00F70574"/>
    <w:rsid w:val="00F709D1"/>
    <w:rsid w:val="00F75407"/>
    <w:rsid w:val="00F8638C"/>
    <w:rsid w:val="00FA0C1F"/>
    <w:rsid w:val="00FA584D"/>
    <w:rsid w:val="00FA5947"/>
    <w:rsid w:val="00FB7AC0"/>
    <w:rsid w:val="00FC1E3B"/>
    <w:rsid w:val="00FC269D"/>
    <w:rsid w:val="00FC42AB"/>
    <w:rsid w:val="00FC4CF0"/>
    <w:rsid w:val="00FD04BD"/>
    <w:rsid w:val="00FD7314"/>
    <w:rsid w:val="00FD79A3"/>
    <w:rsid w:val="00FE1EB5"/>
    <w:rsid w:val="00FE68B5"/>
    <w:rsid w:val="00FE6B32"/>
    <w:rsid w:val="00FE6E5E"/>
    <w:rsid w:val="00FE773E"/>
    <w:rsid w:val="00FF2AA9"/>
    <w:rsid w:val="00FF3126"/>
    <w:rsid w:val="00FF4BF4"/>
    <w:rsid w:val="00FF6D65"/>
    <w:rsid w:val="187C6003"/>
    <w:rsid w:val="1E382C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57"/>
    <w:pPr>
      <w:spacing w:after="200" w:line="276" w:lineRule="auto"/>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2B57"/>
    <w:rPr>
      <w:rFonts w:ascii="Segoe UI" w:hAnsi="Segoe UI" w:cs="Segoe UI"/>
      <w:sz w:val="18"/>
      <w:szCs w:val="18"/>
      <w:lang w:val="en-US"/>
    </w:rPr>
  </w:style>
  <w:style w:type="paragraph" w:styleId="Footer">
    <w:name w:val="footer"/>
    <w:basedOn w:val="Normal"/>
    <w:link w:val="FooterChar"/>
    <w:uiPriority w:val="99"/>
    <w:rsid w:val="00192B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2B57"/>
    <w:rPr>
      <w:rFonts w:cs="Times New Roman"/>
      <w:lang w:val="en-US"/>
    </w:rPr>
  </w:style>
  <w:style w:type="paragraph" w:styleId="Header">
    <w:name w:val="header"/>
    <w:basedOn w:val="Normal"/>
    <w:link w:val="HeaderChar"/>
    <w:uiPriority w:val="99"/>
    <w:rsid w:val="00192B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2B57"/>
    <w:rPr>
      <w:rFonts w:cs="Times New Roman"/>
      <w:lang w:val="en-US"/>
    </w:rPr>
  </w:style>
  <w:style w:type="paragraph" w:styleId="NormalWeb">
    <w:name w:val="Normal (Web)"/>
    <w:basedOn w:val="Normal"/>
    <w:uiPriority w:val="99"/>
    <w:semiHidden/>
    <w:rsid w:val="00192B5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192B57"/>
    <w:rPr>
      <w:rFonts w:cs="Times New Roman"/>
      <w:color w:val="auto"/>
      <w:u w:val="single"/>
    </w:rPr>
  </w:style>
  <w:style w:type="paragraph" w:styleId="ListParagraph">
    <w:name w:val="List Paragraph"/>
    <w:basedOn w:val="Normal"/>
    <w:uiPriority w:val="99"/>
    <w:qFormat/>
    <w:rsid w:val="00192B57"/>
    <w:pPr>
      <w:ind w:left="720"/>
    </w:pPr>
  </w:style>
  <w:style w:type="character" w:customStyle="1" w:styleId="apple-converted-space">
    <w:name w:val="apple-converted-space"/>
    <w:uiPriority w:val="99"/>
    <w:rsid w:val="00192B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1620</Words>
  <Characters>9239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ThuHang</dc:creator>
  <cp:keywords/>
  <dc:description/>
  <cp:lastModifiedBy>User</cp:lastModifiedBy>
  <cp:revision>2</cp:revision>
  <cp:lastPrinted>2018-07-13T09:23:00Z</cp:lastPrinted>
  <dcterms:created xsi:type="dcterms:W3CDTF">2018-08-14T00:49:00Z</dcterms:created>
  <dcterms:modified xsi:type="dcterms:W3CDTF">2018-08-14T00:49:00Z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